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9447" w14:textId="653B520D" w:rsidR="006D5A43" w:rsidRPr="006D5A43" w:rsidRDefault="007D1316" w:rsidP="00FB6A97">
      <w:pPr>
        <w:jc w:val="center"/>
        <w:rPr>
          <w:rFonts w:cstheme="minorHAnsi"/>
          <w:sz w:val="36"/>
          <w:szCs w:val="36"/>
        </w:rPr>
      </w:pPr>
      <w:r w:rsidRPr="007D1316">
        <w:rPr>
          <w:rFonts w:cstheme="minorHAnsi"/>
          <w:noProof/>
          <w:sz w:val="36"/>
          <w:szCs w:val="36"/>
        </w:rPr>
        <w:drawing>
          <wp:inline distT="0" distB="0" distL="0" distR="0" wp14:anchorId="2FC7A04E" wp14:editId="6787883A">
            <wp:extent cx="5731510" cy="1099185"/>
            <wp:effectExtent l="0" t="0" r="0" b="5715"/>
            <wp:docPr id="1658483488" name="Picture 1" descr="A white cube with many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483488" name="Picture 1" descr="A white cube with many square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F5E31" w14:textId="736E0052" w:rsidR="00FB6A97" w:rsidRPr="00231696" w:rsidRDefault="00231696" w:rsidP="00FB6A97">
      <w:pPr>
        <w:jc w:val="center"/>
        <w:rPr>
          <w:b/>
          <w:bCs/>
          <w:color w:val="0EA5C4"/>
          <w:sz w:val="32"/>
          <w:szCs w:val="32"/>
        </w:rPr>
      </w:pPr>
      <w:r w:rsidRPr="00231696">
        <w:rPr>
          <w:b/>
          <w:bCs/>
          <w:color w:val="0EA5C4"/>
          <w:sz w:val="32"/>
          <w:szCs w:val="32"/>
        </w:rPr>
        <w:t xml:space="preserve">Online Conference date: Wednesday </w:t>
      </w:r>
      <w:r w:rsidR="007D1316">
        <w:rPr>
          <w:b/>
          <w:bCs/>
          <w:color w:val="0EA5C4"/>
          <w:sz w:val="32"/>
          <w:szCs w:val="32"/>
        </w:rPr>
        <w:t>28</w:t>
      </w:r>
      <w:r w:rsidR="007D1316" w:rsidRPr="007D1316">
        <w:rPr>
          <w:b/>
          <w:bCs/>
          <w:color w:val="0EA5C4"/>
          <w:sz w:val="32"/>
          <w:szCs w:val="32"/>
          <w:vertAlign w:val="superscript"/>
        </w:rPr>
        <w:t>th</w:t>
      </w:r>
      <w:r w:rsidR="007D1316">
        <w:rPr>
          <w:b/>
          <w:bCs/>
          <w:color w:val="0EA5C4"/>
          <w:sz w:val="32"/>
          <w:szCs w:val="32"/>
        </w:rPr>
        <w:t xml:space="preserve"> February</w:t>
      </w:r>
      <w:r w:rsidRPr="00231696">
        <w:rPr>
          <w:b/>
          <w:bCs/>
          <w:color w:val="0EA5C4"/>
          <w:sz w:val="32"/>
          <w:szCs w:val="32"/>
        </w:rPr>
        <w:t xml:space="preserve"> 202</w:t>
      </w:r>
      <w:r w:rsidR="007D1316">
        <w:rPr>
          <w:b/>
          <w:bCs/>
          <w:color w:val="0EA5C4"/>
          <w:sz w:val="32"/>
          <w:szCs w:val="32"/>
        </w:rPr>
        <w:t>4</w:t>
      </w:r>
    </w:p>
    <w:p w14:paraId="484B5BC2" w14:textId="775D72C4" w:rsidR="000053D2" w:rsidRDefault="00DB38BC" w:rsidP="00FB6A97">
      <w:pPr>
        <w:jc w:val="center"/>
        <w:rPr>
          <w:b/>
          <w:bCs/>
          <w:sz w:val="32"/>
          <w:szCs w:val="32"/>
        </w:rPr>
      </w:pPr>
      <w:r w:rsidRPr="00FB6A97">
        <w:rPr>
          <w:b/>
          <w:bCs/>
          <w:sz w:val="32"/>
          <w:szCs w:val="32"/>
        </w:rPr>
        <w:t xml:space="preserve">Call for </w:t>
      </w:r>
      <w:r w:rsidR="007D1316" w:rsidRPr="00FB6A97">
        <w:rPr>
          <w:b/>
          <w:bCs/>
          <w:sz w:val="32"/>
          <w:szCs w:val="32"/>
        </w:rPr>
        <w:t>participation!</w:t>
      </w:r>
    </w:p>
    <w:p w14:paraId="0DD6ED0B" w14:textId="5F421E1F" w:rsidR="006D5A43" w:rsidRPr="000053D2" w:rsidRDefault="000053D2" w:rsidP="000053D2">
      <w:pPr>
        <w:jc w:val="center"/>
        <w:rPr>
          <w:b/>
          <w:bCs/>
          <w:sz w:val="32"/>
          <w:szCs w:val="32"/>
        </w:rPr>
      </w:pPr>
      <w:r w:rsidRPr="000053D2">
        <w:rPr>
          <w:b/>
          <w:bCs/>
          <w:sz w:val="32"/>
          <w:szCs w:val="32"/>
        </w:rPr>
        <w:t xml:space="preserve">Theme: </w:t>
      </w:r>
      <w:r w:rsidR="00E573F9">
        <w:rPr>
          <w:b/>
          <w:bCs/>
          <w:sz w:val="32"/>
          <w:szCs w:val="32"/>
        </w:rPr>
        <w:t>I</w:t>
      </w:r>
      <w:r w:rsidR="007D1316">
        <w:rPr>
          <w:b/>
          <w:bCs/>
          <w:sz w:val="32"/>
          <w:szCs w:val="32"/>
        </w:rPr>
        <w:t>nnovative</w:t>
      </w:r>
      <w:r w:rsidR="00E573F9">
        <w:rPr>
          <w:b/>
          <w:bCs/>
          <w:sz w:val="32"/>
          <w:szCs w:val="32"/>
        </w:rPr>
        <w:t xml:space="preserve"> teaching</w:t>
      </w:r>
    </w:p>
    <w:p w14:paraId="7B3B8984" w14:textId="77777777" w:rsidR="00BF3734" w:rsidRDefault="00BF3734" w:rsidP="00AD6CE7">
      <w:p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</w:pPr>
    </w:p>
    <w:p w14:paraId="6C75025F" w14:textId="1D31CD72" w:rsidR="008C6830" w:rsidRDefault="00751F84" w:rsidP="27118970">
      <w:p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Innovative teaching is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</w:t>
      </w:r>
      <w:r w:rsidR="5C37A50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the 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adoption of creative, </w:t>
      </w:r>
      <w:proofErr w:type="gramStart"/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novel</w:t>
      </w:r>
      <w:proofErr w:type="gramEnd"/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and</w:t>
      </w:r>
      <w:r w:rsidR="00973DD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new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approaches to the process of facilitating learning</w:t>
      </w:r>
      <w:r w:rsidR="4398C517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– both in the classroom and online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. </w:t>
      </w:r>
      <w:r w:rsidR="70792C7F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Innovation in teaching can </w:t>
      </w:r>
      <w:r w:rsidR="1C2EC61A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help</w:t>
      </w:r>
      <w:r w:rsidR="726561B9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to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en</w:t>
      </w:r>
      <w:r w:rsidR="0BD9F077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courage 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students t</w:t>
      </w:r>
      <w:r w:rsidR="0B10CD26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o try something different,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</w:t>
      </w:r>
      <w:r w:rsidR="031EE39E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to take an active role in their learning and to </w:t>
      </w:r>
      <w:r w:rsidR="3C520DAB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engage them with the subject matter </w:t>
      </w:r>
      <w:proofErr w:type="gramStart"/>
      <w:r w:rsidR="3C520DAB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in order to</w:t>
      </w:r>
      <w:proofErr w:type="gramEnd"/>
      <w:r w:rsidR="3C520DAB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promote deeper understanding, critical thinking, problem solving and retention of information. Innovative teaching methods often </w:t>
      </w:r>
      <w:r w:rsidR="0E6CFEAF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include</w:t>
      </w:r>
      <w:r w:rsidR="280D617E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the use of</w:t>
      </w:r>
      <w:r w:rsidR="0E6CFEAF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technology, experimental learning and </w:t>
      </w:r>
      <w:r w:rsidR="14B7AF6C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new or sometimes untested teaching 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practices</w:t>
      </w:r>
      <w:r w:rsidR="19EF7E8D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; equally, it can encompass traditional approaches, but applied in new contexts</w:t>
      </w:r>
      <w:r w:rsidR="32B2E86F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which are novel to your own practice</w:t>
      </w:r>
      <w:r w:rsidR="3DE44177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s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.</w:t>
      </w:r>
      <w:r w:rsidR="7259FE1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</w:t>
      </w:r>
      <w:r w:rsidR="75F3F283" w:rsidRPr="27118970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For </w:t>
      </w:r>
      <w:proofErr w:type="spellStart"/>
      <w:r w:rsidR="75F3F283" w:rsidRPr="27118970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EduFest</w:t>
      </w:r>
      <w:proofErr w:type="spellEnd"/>
      <w:r w:rsidR="75F3F283" w:rsidRPr="27118970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 2024</w:t>
      </w:r>
      <w:r w:rsidR="2AD8CF4B" w:rsidRPr="27118970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,</w:t>
      </w:r>
      <w:r w:rsidR="75F3F283" w:rsidRPr="27118970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 we are keen to hear about your innovative approaches to teaching</w:t>
      </w:r>
      <w:r w:rsidR="6153374E" w:rsidRPr="27118970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;</w:t>
      </w:r>
      <w:r w:rsidR="75F3F283" w:rsidRPr="27118970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 whether that involves a new approach that has ha</w:t>
      </w:r>
      <w:r w:rsidR="0DD3C654" w:rsidRPr="27118970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d a positive effect on student engagement and </w:t>
      </w:r>
      <w:r w:rsidR="6DBE40CE" w:rsidRPr="27118970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learning</w:t>
      </w:r>
      <w:r w:rsidR="0BDC18B8" w:rsidRPr="27118970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,</w:t>
      </w:r>
      <w:r w:rsidR="6DBE40CE" w:rsidRPr="27118970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 </w:t>
      </w:r>
      <w:r w:rsidR="6472498C" w:rsidRPr="27118970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or something you tried that did not work well and what lessons you learned along the way</w:t>
      </w:r>
      <w:r w:rsidR="7ED49610" w:rsidRPr="27118970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.</w:t>
      </w:r>
      <w:r w:rsidR="6743D4AA" w:rsidRPr="27118970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 </w:t>
      </w:r>
    </w:p>
    <w:p w14:paraId="18AF99F9" w14:textId="0D62D8E0" w:rsidR="008C6830" w:rsidRDefault="008C6830" w:rsidP="27118970">
      <w:p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lang w:eastAsia="en-GB"/>
        </w:rPr>
      </w:pPr>
    </w:p>
    <w:p w14:paraId="0010A3AC" w14:textId="6E342DEF" w:rsidR="008C6830" w:rsidRDefault="7696213E" w:rsidP="27118970">
      <w:p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lang w:eastAsia="en-GB"/>
        </w:rPr>
      </w:pPr>
      <w:r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You may have developed your practice for Curriculum Transformation through the process of reimaging, </w:t>
      </w:r>
      <w:proofErr w:type="gramStart"/>
      <w:r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redesigning</w:t>
      </w:r>
      <w:proofErr w:type="gramEnd"/>
      <w:r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 and reforming your curriculum to align with evolving educational goals, advances</w:t>
      </w:r>
      <w:r w:rsidR="7C6E1FCA"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 in your discipline</w:t>
      </w:r>
      <w:r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 </w:t>
      </w:r>
      <w:r w:rsidR="768BBB88"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or developments in the wider sector</w:t>
      </w:r>
      <w:r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. </w:t>
      </w:r>
      <w:proofErr w:type="spellStart"/>
      <w:r w:rsidR="648D9F0D"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EduFest</w:t>
      </w:r>
      <w:proofErr w:type="spellEnd"/>
      <w:r w:rsidR="648D9F0D"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 2024 </w:t>
      </w:r>
      <w:r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is an </w:t>
      </w:r>
      <w:r w:rsidR="6414DF32"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ideal </w:t>
      </w:r>
      <w:r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opportunity to showcase </w:t>
      </w:r>
      <w:r w:rsidR="50290C4C"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any </w:t>
      </w:r>
      <w:r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development</w:t>
      </w:r>
      <w:r w:rsidR="7C2D57E0"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s</w:t>
      </w:r>
      <w:r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 carried out in Semester one. </w:t>
      </w:r>
    </w:p>
    <w:p w14:paraId="536F96F9" w14:textId="3E6246B9" w:rsidR="008C6830" w:rsidRDefault="008C6830" w:rsidP="27118970">
      <w:p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lang w:eastAsia="en-GB"/>
        </w:rPr>
      </w:pPr>
    </w:p>
    <w:p w14:paraId="63DC31F9" w14:textId="7E92F1F4" w:rsidR="008C6830" w:rsidRDefault="21C39384" w:rsidP="27118970">
      <w:p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In addition, </w:t>
      </w:r>
      <w:r w:rsidR="0E1C7CEF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it is also an opportunity to </w:t>
      </w:r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r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eflect on </w:t>
      </w:r>
      <w:r w:rsidR="3B1304FC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over twelve months since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the explosion of </w:t>
      </w:r>
      <w:r w:rsidR="5163102D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General 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Artificial Intelligence (AI)</w:t>
      </w:r>
      <w:r w:rsidR="536DA507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tools</w:t>
      </w:r>
      <w:r w:rsidR="3E50596E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, and what advantages and challenges thi</w:t>
      </w:r>
      <w:r w:rsidR="14831353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s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</w:t>
      </w:r>
      <w:r w:rsidR="694C366A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poses to teaching and learning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. As AI technologies continue to evolve, </w:t>
      </w:r>
      <w:r w:rsidR="06F6FEB4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we are keen to hear how 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educators and researchers are exploring </w:t>
      </w:r>
      <w:r w:rsidR="35C2B06B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its potential impact on</w:t>
      </w:r>
      <w:r w:rsidR="008C6830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teaching and learning</w:t>
      </w:r>
      <w:r w:rsidR="6BC7CB5F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,</w:t>
      </w:r>
      <w:r w:rsidR="590A5CC6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and</w:t>
      </w:r>
      <w:r w:rsidR="6BC7CB5F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so we invite any early adopters to share their experiences</w:t>
      </w:r>
      <w:r w:rsidR="00594954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>.</w:t>
      </w:r>
      <w:r w:rsidR="6E206416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  <w:t xml:space="preserve"> </w:t>
      </w:r>
    </w:p>
    <w:p w14:paraId="77FB74FE" w14:textId="77777777" w:rsidR="00594954" w:rsidRDefault="00594954" w:rsidP="00AD6CE7">
      <w:pPr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en-GB"/>
        </w:rPr>
      </w:pPr>
    </w:p>
    <w:p w14:paraId="1F964DC2" w14:textId="04BC5F69" w:rsidR="001E47CA" w:rsidRPr="001E47CA" w:rsidRDefault="006D5A43" w:rsidP="27118970">
      <w:pPr>
        <w:spacing w:after="0" w:line="240" w:lineRule="auto"/>
        <w:rPr>
          <w:rFonts w:ascii="Calibri" w:hAnsi="Calibri" w:cs="Calibri"/>
          <w:sz w:val="24"/>
          <w:szCs w:val="24"/>
          <w:highlight w:val="yellow"/>
        </w:rPr>
      </w:pPr>
      <w:r w:rsidRPr="5CFB38AB">
        <w:rPr>
          <w:b/>
          <w:bCs/>
          <w:sz w:val="24"/>
          <w:szCs w:val="24"/>
        </w:rPr>
        <w:t xml:space="preserve">Call for participation: </w:t>
      </w:r>
      <w:r w:rsidR="00FB6A97" w:rsidRPr="5CFB38AB">
        <w:rPr>
          <w:sz w:val="24"/>
          <w:szCs w:val="24"/>
        </w:rPr>
        <w:t>To learn from and celebrate the excellent work carried out here at the University of Bath, w</w:t>
      </w:r>
      <w:r w:rsidR="003736CD" w:rsidRPr="5CFB38AB">
        <w:rPr>
          <w:sz w:val="24"/>
          <w:szCs w:val="24"/>
        </w:rPr>
        <w:t xml:space="preserve">e are inviting colleagues to submit proposals </w:t>
      </w:r>
      <w:r w:rsidRPr="5CFB38AB">
        <w:rPr>
          <w:sz w:val="24"/>
          <w:szCs w:val="24"/>
        </w:rPr>
        <w:t xml:space="preserve">that reflect on these challenges </w:t>
      </w:r>
      <w:r w:rsidR="003736CD" w:rsidRPr="5CFB38AB">
        <w:rPr>
          <w:sz w:val="24"/>
          <w:szCs w:val="24"/>
        </w:rPr>
        <w:t xml:space="preserve">for </w:t>
      </w:r>
      <w:r w:rsidR="003736CD" w:rsidRPr="5CFB38AB">
        <w:rPr>
          <w:i/>
          <w:iCs/>
          <w:sz w:val="24"/>
          <w:szCs w:val="24"/>
        </w:rPr>
        <w:t>Talking Points</w:t>
      </w:r>
      <w:r w:rsidR="002F215E" w:rsidRPr="5CFB38AB">
        <w:rPr>
          <w:sz w:val="24"/>
          <w:szCs w:val="24"/>
        </w:rPr>
        <w:t xml:space="preserve"> and</w:t>
      </w:r>
      <w:r w:rsidR="003736CD" w:rsidRPr="5CFB38AB">
        <w:rPr>
          <w:sz w:val="24"/>
          <w:szCs w:val="24"/>
        </w:rPr>
        <w:t xml:space="preserve"> </w:t>
      </w:r>
      <w:r w:rsidR="003736CD" w:rsidRPr="5CFB38AB">
        <w:rPr>
          <w:i/>
          <w:iCs/>
          <w:sz w:val="24"/>
          <w:szCs w:val="24"/>
        </w:rPr>
        <w:t>Lightning Talks</w:t>
      </w:r>
      <w:r w:rsidR="2CA5E46A" w:rsidRPr="5CFB38AB">
        <w:rPr>
          <w:i/>
          <w:iCs/>
          <w:sz w:val="24"/>
          <w:szCs w:val="24"/>
        </w:rPr>
        <w:t>.</w:t>
      </w:r>
      <w:r w:rsidR="70746143" w:rsidRPr="5CFB38AB">
        <w:rPr>
          <w:sz w:val="24"/>
          <w:szCs w:val="24"/>
        </w:rPr>
        <w:t xml:space="preserve"> W</w:t>
      </w:r>
      <w:r w:rsidR="001E47CA"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e </w:t>
      </w:r>
      <w:r w:rsidR="00594954"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welcome paper</w:t>
      </w:r>
      <w:r w:rsidR="4B0A7B39"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s</w:t>
      </w:r>
      <w:r w:rsidR="00594954"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 xml:space="preserve"> that address a wide range of topics related to innovation and AI in education, including but not limited </w:t>
      </w:r>
      <w:r w:rsidR="00F65415" w:rsidRPr="5CFB38AB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to:</w:t>
      </w:r>
    </w:p>
    <w:p w14:paraId="72B4F948" w14:textId="41A8C62F" w:rsidR="00F57346" w:rsidRPr="00100039" w:rsidRDefault="00100039" w:rsidP="5CFB38A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rPr>
          <w:rFonts w:eastAsia="Times New Roman"/>
          <w:color w:val="242424"/>
          <w:sz w:val="24"/>
          <w:szCs w:val="24"/>
          <w:lang w:eastAsia="en-GB"/>
        </w:rPr>
      </w:pPr>
      <w:r w:rsidRPr="5CFB38AB">
        <w:rPr>
          <w:rFonts w:eastAsia="Times New Roman"/>
          <w:color w:val="242424"/>
          <w:sz w:val="24"/>
          <w:szCs w:val="24"/>
          <w:lang w:eastAsia="en-GB"/>
        </w:rPr>
        <w:t xml:space="preserve">Examples of </w:t>
      </w:r>
      <w:r w:rsidR="00751F84" w:rsidRPr="5CFB38AB">
        <w:rPr>
          <w:rFonts w:eastAsia="Times New Roman"/>
          <w:color w:val="242424"/>
          <w:sz w:val="24"/>
          <w:szCs w:val="24"/>
          <w:lang w:eastAsia="en-GB"/>
        </w:rPr>
        <w:t>innovative</w:t>
      </w:r>
      <w:r w:rsidRPr="5CFB38AB">
        <w:rPr>
          <w:rFonts w:eastAsia="Times New Roman"/>
          <w:color w:val="242424"/>
          <w:sz w:val="24"/>
          <w:szCs w:val="24"/>
          <w:lang w:eastAsia="en-GB"/>
        </w:rPr>
        <w:t xml:space="preserve"> teaching practice</w:t>
      </w:r>
      <w:r w:rsidR="00B371B3" w:rsidRPr="5CFB38AB">
        <w:rPr>
          <w:rFonts w:eastAsia="Times New Roman"/>
          <w:color w:val="242424"/>
          <w:sz w:val="24"/>
          <w:szCs w:val="24"/>
          <w:lang w:eastAsia="en-GB"/>
        </w:rPr>
        <w:t xml:space="preserve">, </w:t>
      </w:r>
      <w:r w:rsidR="00362BF9" w:rsidRPr="5CFB38AB">
        <w:rPr>
          <w:rFonts w:eastAsia="Times New Roman"/>
          <w:color w:val="242424"/>
          <w:sz w:val="24"/>
          <w:szCs w:val="24"/>
          <w:lang w:eastAsia="en-GB"/>
        </w:rPr>
        <w:t>that ha</w:t>
      </w:r>
      <w:r w:rsidR="00CF7915" w:rsidRPr="5CFB38AB">
        <w:rPr>
          <w:rFonts w:eastAsia="Times New Roman"/>
          <w:color w:val="242424"/>
          <w:sz w:val="24"/>
          <w:szCs w:val="24"/>
          <w:lang w:eastAsia="en-GB"/>
        </w:rPr>
        <w:t>ve</w:t>
      </w:r>
      <w:r w:rsidR="00362BF9" w:rsidRPr="5CFB38AB">
        <w:rPr>
          <w:rFonts w:eastAsia="Times New Roman"/>
          <w:color w:val="242424"/>
          <w:sz w:val="24"/>
          <w:szCs w:val="24"/>
          <w:lang w:eastAsia="en-GB"/>
        </w:rPr>
        <w:t xml:space="preserve"> demonstrated </w:t>
      </w:r>
      <w:r w:rsidR="385CCF5F" w:rsidRPr="5CFB38AB">
        <w:rPr>
          <w:rFonts w:eastAsia="Times New Roman"/>
          <w:color w:val="242424"/>
          <w:sz w:val="24"/>
          <w:szCs w:val="24"/>
          <w:lang w:eastAsia="en-GB"/>
        </w:rPr>
        <w:t>positive (or negative!) impact</w:t>
      </w:r>
      <w:r w:rsidR="64E43337" w:rsidRPr="5CFB38AB">
        <w:rPr>
          <w:rFonts w:eastAsia="Times New Roman"/>
          <w:color w:val="242424"/>
          <w:sz w:val="24"/>
          <w:szCs w:val="24"/>
          <w:lang w:eastAsia="en-GB"/>
        </w:rPr>
        <w:t xml:space="preserve"> </w:t>
      </w:r>
      <w:r w:rsidR="64522386" w:rsidRPr="5CFB38AB">
        <w:rPr>
          <w:rFonts w:eastAsia="Times New Roman"/>
          <w:color w:val="242424"/>
          <w:sz w:val="24"/>
          <w:szCs w:val="24"/>
          <w:lang w:eastAsia="en-GB"/>
        </w:rPr>
        <w:t>on</w:t>
      </w:r>
      <w:r w:rsidR="00751F84" w:rsidRPr="5CFB38AB">
        <w:rPr>
          <w:rFonts w:eastAsia="Times New Roman"/>
          <w:color w:val="242424"/>
          <w:sz w:val="24"/>
          <w:szCs w:val="24"/>
          <w:lang w:eastAsia="en-GB"/>
        </w:rPr>
        <w:t xml:space="preserve"> </w:t>
      </w:r>
      <w:r w:rsidR="00594954" w:rsidRPr="5CFB38AB">
        <w:rPr>
          <w:rFonts w:eastAsia="Times New Roman"/>
          <w:color w:val="242424"/>
          <w:sz w:val="24"/>
          <w:szCs w:val="24"/>
          <w:lang w:eastAsia="en-GB"/>
        </w:rPr>
        <w:t>students.</w:t>
      </w:r>
    </w:p>
    <w:p w14:paraId="6431D235" w14:textId="3FD8E8CD" w:rsidR="001E47CA" w:rsidRPr="001E47CA" w:rsidRDefault="4A7E463C" w:rsidP="2711897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rPr>
          <w:rFonts w:ascii="Calibri" w:eastAsia="Times New Roman" w:hAnsi="Calibri" w:cs="Calibri"/>
          <w:color w:val="242424"/>
          <w:sz w:val="21"/>
          <w:szCs w:val="21"/>
          <w:lang w:eastAsia="en-GB"/>
        </w:rPr>
      </w:pPr>
      <w:r w:rsidRPr="27118970">
        <w:rPr>
          <w:rFonts w:eastAsia="Times New Roman"/>
          <w:color w:val="242424"/>
          <w:sz w:val="24"/>
          <w:szCs w:val="24"/>
          <w:lang w:eastAsia="en-GB"/>
        </w:rPr>
        <w:t>I</w:t>
      </w:r>
      <w:r w:rsidR="00751F84" w:rsidRPr="27118970">
        <w:rPr>
          <w:rFonts w:ascii="Calibri" w:eastAsia="Times New Roman" w:hAnsi="Calibri" w:cs="Calibri"/>
          <w:color w:val="242424"/>
          <w:sz w:val="24"/>
          <w:szCs w:val="24"/>
          <w:lang w:eastAsia="en-GB"/>
        </w:rPr>
        <w:t>nnovative use of software tools</w:t>
      </w:r>
    </w:p>
    <w:p w14:paraId="74327CB2" w14:textId="5FC3BB3A" w:rsidR="61BAC45A" w:rsidRPr="00594954" w:rsidRDefault="5FE2E147" w:rsidP="5CFB38AB">
      <w:pPr>
        <w:numPr>
          <w:ilvl w:val="0"/>
          <w:numId w:val="4"/>
        </w:numPr>
        <w:shd w:val="clear" w:color="auto" w:fill="FFFFFF" w:themeFill="background1"/>
        <w:spacing w:beforeAutospacing="1" w:afterAutospacing="1" w:line="240" w:lineRule="auto"/>
        <w:ind w:left="840"/>
        <w:rPr>
          <w:color w:val="242424"/>
          <w:sz w:val="24"/>
          <w:szCs w:val="24"/>
          <w:lang w:eastAsia="en-GB"/>
        </w:rPr>
      </w:pPr>
      <w:proofErr w:type="spellStart"/>
      <w:r w:rsidRPr="5CFB38AB">
        <w:rPr>
          <w:rFonts w:eastAsia="Times New Roman"/>
          <w:color w:val="242424"/>
          <w:sz w:val="24"/>
          <w:szCs w:val="24"/>
          <w:lang w:eastAsia="en-GB"/>
        </w:rPr>
        <w:t>GenAI</w:t>
      </w:r>
      <w:proofErr w:type="spellEnd"/>
      <w:r w:rsidR="00751F84" w:rsidRPr="5CFB38AB">
        <w:rPr>
          <w:rFonts w:eastAsia="Times New Roman"/>
          <w:color w:val="242424"/>
          <w:sz w:val="24"/>
          <w:szCs w:val="24"/>
          <w:lang w:eastAsia="en-GB"/>
        </w:rPr>
        <w:t xml:space="preserve"> integrated into teaching methodologies to improve engagement</w:t>
      </w:r>
      <w:r w:rsidR="008C6830" w:rsidRPr="5CFB38AB">
        <w:rPr>
          <w:rFonts w:eastAsia="Times New Roman"/>
          <w:color w:val="242424"/>
          <w:sz w:val="24"/>
          <w:szCs w:val="24"/>
          <w:lang w:eastAsia="en-GB"/>
        </w:rPr>
        <w:t xml:space="preserve"> and learning outcomes</w:t>
      </w:r>
      <w:r w:rsidR="008C6830" w:rsidRPr="5CFB38AB">
        <w:rPr>
          <w:color w:val="242424"/>
          <w:sz w:val="24"/>
          <w:szCs w:val="24"/>
          <w:lang w:eastAsia="en-GB"/>
        </w:rPr>
        <w:t xml:space="preserve">. </w:t>
      </w:r>
    </w:p>
    <w:p w14:paraId="082D0432" w14:textId="0B02EB0B" w:rsidR="61BAC45A" w:rsidRPr="00594954" w:rsidRDefault="008C6830" w:rsidP="5CFB38AB">
      <w:pPr>
        <w:numPr>
          <w:ilvl w:val="0"/>
          <w:numId w:val="4"/>
        </w:numPr>
        <w:shd w:val="clear" w:color="auto" w:fill="FFFFFF" w:themeFill="background1"/>
        <w:spacing w:beforeAutospacing="1" w:afterAutospacing="1" w:line="240" w:lineRule="auto"/>
        <w:ind w:left="840"/>
        <w:rPr>
          <w:color w:val="242424"/>
          <w:sz w:val="24"/>
          <w:szCs w:val="24"/>
          <w:lang w:eastAsia="en-GB"/>
        </w:rPr>
      </w:pPr>
      <w:r w:rsidRPr="5CFB38AB">
        <w:rPr>
          <w:color w:val="242424"/>
          <w:sz w:val="24"/>
          <w:szCs w:val="24"/>
          <w:lang w:eastAsia="en-GB"/>
        </w:rPr>
        <w:t xml:space="preserve">Design, </w:t>
      </w:r>
      <w:proofErr w:type="gramStart"/>
      <w:r w:rsidRPr="5CFB38AB">
        <w:rPr>
          <w:color w:val="242424"/>
          <w:sz w:val="24"/>
          <w:szCs w:val="24"/>
          <w:lang w:eastAsia="en-GB"/>
        </w:rPr>
        <w:t>development</w:t>
      </w:r>
      <w:proofErr w:type="gramEnd"/>
      <w:r w:rsidRPr="5CFB38AB">
        <w:rPr>
          <w:color w:val="242424"/>
          <w:sz w:val="24"/>
          <w:szCs w:val="24"/>
          <w:lang w:eastAsia="en-GB"/>
        </w:rPr>
        <w:t xml:space="preserve"> and evaluation using </w:t>
      </w:r>
      <w:proofErr w:type="spellStart"/>
      <w:r w:rsidR="6AB8B9EA" w:rsidRPr="5CFB38AB">
        <w:rPr>
          <w:color w:val="242424"/>
          <w:sz w:val="24"/>
          <w:szCs w:val="24"/>
          <w:lang w:eastAsia="en-GB"/>
        </w:rPr>
        <w:t>Gen</w:t>
      </w:r>
      <w:r w:rsidRPr="5CFB38AB">
        <w:rPr>
          <w:color w:val="242424"/>
          <w:sz w:val="24"/>
          <w:szCs w:val="24"/>
          <w:lang w:eastAsia="en-GB"/>
        </w:rPr>
        <w:t>AI</w:t>
      </w:r>
      <w:proofErr w:type="spellEnd"/>
      <w:r w:rsidRPr="5CFB38AB">
        <w:rPr>
          <w:color w:val="242424"/>
          <w:sz w:val="24"/>
          <w:szCs w:val="24"/>
          <w:lang w:eastAsia="en-GB"/>
        </w:rPr>
        <w:t xml:space="preserve"> for content supporting student needs.</w:t>
      </w:r>
    </w:p>
    <w:p w14:paraId="6CC94881" w14:textId="08382A0F" w:rsidR="008C6830" w:rsidRPr="00751F84" w:rsidRDefault="0ADEBE44" w:rsidP="5CFB38AB">
      <w:pPr>
        <w:numPr>
          <w:ilvl w:val="0"/>
          <w:numId w:val="4"/>
        </w:numPr>
        <w:shd w:val="clear" w:color="auto" w:fill="FFFFFF" w:themeFill="background1"/>
        <w:spacing w:beforeAutospacing="1" w:afterAutospacing="1" w:line="240" w:lineRule="auto"/>
        <w:ind w:left="840"/>
        <w:rPr>
          <w:color w:val="242424"/>
          <w:sz w:val="24"/>
          <w:szCs w:val="24"/>
          <w:lang w:eastAsia="en-GB"/>
        </w:rPr>
      </w:pPr>
      <w:proofErr w:type="spellStart"/>
      <w:r w:rsidRPr="5CFB38AB">
        <w:rPr>
          <w:color w:val="242424"/>
          <w:sz w:val="24"/>
          <w:szCs w:val="24"/>
          <w:lang w:eastAsia="en-GB"/>
        </w:rPr>
        <w:t>Gen</w:t>
      </w:r>
      <w:r w:rsidR="008C6830" w:rsidRPr="5CFB38AB">
        <w:rPr>
          <w:color w:val="242424"/>
          <w:sz w:val="24"/>
          <w:szCs w:val="24"/>
          <w:lang w:eastAsia="en-GB"/>
        </w:rPr>
        <w:t>AI</w:t>
      </w:r>
      <w:proofErr w:type="spellEnd"/>
      <w:r w:rsidR="008C6830" w:rsidRPr="5CFB38AB">
        <w:rPr>
          <w:color w:val="242424"/>
          <w:sz w:val="24"/>
          <w:szCs w:val="24"/>
          <w:lang w:eastAsia="en-GB"/>
        </w:rPr>
        <w:t xml:space="preserve"> driven Assessment &amp; Feedback: Innovations using </w:t>
      </w:r>
      <w:proofErr w:type="spellStart"/>
      <w:r w:rsidR="2B50784E" w:rsidRPr="5CFB38AB">
        <w:rPr>
          <w:color w:val="242424"/>
          <w:sz w:val="24"/>
          <w:szCs w:val="24"/>
          <w:lang w:eastAsia="en-GB"/>
        </w:rPr>
        <w:t>Gen</w:t>
      </w:r>
      <w:r w:rsidR="008C6830" w:rsidRPr="5CFB38AB">
        <w:rPr>
          <w:color w:val="242424"/>
          <w:sz w:val="24"/>
          <w:szCs w:val="24"/>
          <w:lang w:eastAsia="en-GB"/>
        </w:rPr>
        <w:t>AI</w:t>
      </w:r>
      <w:proofErr w:type="spellEnd"/>
      <w:r w:rsidR="008C6830" w:rsidRPr="5CFB38AB">
        <w:rPr>
          <w:color w:val="242424"/>
          <w:sz w:val="24"/>
          <w:szCs w:val="24"/>
          <w:lang w:eastAsia="en-GB"/>
        </w:rPr>
        <w:t xml:space="preserve"> for grading, </w:t>
      </w:r>
      <w:proofErr w:type="gramStart"/>
      <w:r w:rsidR="008C6830" w:rsidRPr="5CFB38AB">
        <w:rPr>
          <w:color w:val="242424"/>
          <w:sz w:val="24"/>
          <w:szCs w:val="24"/>
          <w:lang w:eastAsia="en-GB"/>
        </w:rPr>
        <w:t>feedback</w:t>
      </w:r>
      <w:proofErr w:type="gramEnd"/>
      <w:r w:rsidR="008C6830" w:rsidRPr="5CFB38AB">
        <w:rPr>
          <w:color w:val="242424"/>
          <w:sz w:val="24"/>
          <w:szCs w:val="24"/>
          <w:lang w:eastAsia="en-GB"/>
        </w:rPr>
        <w:t xml:space="preserve"> and assessment analytics.</w:t>
      </w:r>
    </w:p>
    <w:p w14:paraId="21F2C5BA" w14:textId="6FB0028C" w:rsidR="00751F84" w:rsidRDefault="00751F84" w:rsidP="5CFB38AB">
      <w:pPr>
        <w:numPr>
          <w:ilvl w:val="0"/>
          <w:numId w:val="4"/>
        </w:numPr>
        <w:shd w:val="clear" w:color="auto" w:fill="FFFFFF" w:themeFill="background1"/>
        <w:spacing w:beforeAutospacing="1" w:afterAutospacing="1" w:line="240" w:lineRule="auto"/>
        <w:ind w:left="840"/>
        <w:rPr>
          <w:rFonts w:eastAsia="Times New Roman"/>
          <w:color w:val="242424"/>
          <w:sz w:val="24"/>
          <w:szCs w:val="24"/>
          <w:lang w:eastAsia="en-GB"/>
        </w:rPr>
      </w:pPr>
      <w:r w:rsidRPr="5CFB38AB">
        <w:rPr>
          <w:rFonts w:eastAsia="Times New Roman"/>
          <w:color w:val="242424"/>
          <w:sz w:val="24"/>
          <w:szCs w:val="24"/>
          <w:lang w:eastAsia="en-GB"/>
        </w:rPr>
        <w:lastRenderedPageBreak/>
        <w:t>Showcase how your teaching has changed and developed through Curriculum Transformation in Semester 1</w:t>
      </w:r>
      <w:r w:rsidR="19BF34C8" w:rsidRPr="5CFB38AB">
        <w:rPr>
          <w:rFonts w:eastAsia="Times New Roman"/>
          <w:color w:val="242424"/>
          <w:sz w:val="24"/>
          <w:szCs w:val="24"/>
          <w:lang w:eastAsia="en-GB"/>
        </w:rPr>
        <w:t xml:space="preserve"> – what went well, what will you continue to improve.</w:t>
      </w:r>
    </w:p>
    <w:p w14:paraId="7DA96B9D" w14:textId="7505A489" w:rsidR="00745987" w:rsidRPr="00745987" w:rsidRDefault="00AC2206" w:rsidP="00745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242424"/>
          <w:sz w:val="24"/>
          <w:szCs w:val="24"/>
          <w:lang w:eastAsia="en-GB"/>
        </w:rPr>
      </w:pPr>
      <w:r w:rsidRPr="5CFB38AB">
        <w:rPr>
          <w:rFonts w:eastAsia="Times New Roman"/>
          <w:sz w:val="24"/>
          <w:szCs w:val="24"/>
          <w:lang w:eastAsia="en-GB"/>
        </w:rPr>
        <w:t xml:space="preserve">As well as </w:t>
      </w:r>
      <w:r w:rsidR="00F57346" w:rsidRPr="5CFB38AB">
        <w:rPr>
          <w:rFonts w:eastAsia="Times New Roman"/>
          <w:sz w:val="24"/>
          <w:szCs w:val="24"/>
          <w:lang w:eastAsia="en-GB"/>
        </w:rPr>
        <w:t xml:space="preserve">themes directly addressing </w:t>
      </w:r>
      <w:r w:rsidR="00751F84" w:rsidRPr="5CFB38AB">
        <w:rPr>
          <w:rFonts w:eastAsia="Times New Roman"/>
          <w:sz w:val="24"/>
          <w:szCs w:val="24"/>
          <w:lang w:eastAsia="en-GB"/>
        </w:rPr>
        <w:t>innovation,</w:t>
      </w:r>
      <w:r w:rsidRPr="5CFB38AB">
        <w:rPr>
          <w:rFonts w:eastAsia="Times New Roman"/>
          <w:sz w:val="24"/>
          <w:szCs w:val="24"/>
          <w:lang w:eastAsia="en-GB"/>
        </w:rPr>
        <w:t xml:space="preserve"> we would also welcome presentations around other teaching and learning themes.</w:t>
      </w:r>
      <w:r w:rsidR="00745987" w:rsidRPr="5CFB38AB">
        <w:rPr>
          <w:rFonts w:eastAsia="Times New Roman"/>
          <w:sz w:val="24"/>
          <w:szCs w:val="24"/>
          <w:lang w:eastAsia="en-GB"/>
        </w:rPr>
        <w:t xml:space="preserve"> </w:t>
      </w:r>
    </w:p>
    <w:p w14:paraId="4A092928" w14:textId="226FEB79" w:rsidR="00AC2206" w:rsidRPr="00745987" w:rsidRDefault="00517E46" w:rsidP="00745987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As part of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EduFest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you</w:t>
      </w:r>
      <w:r w:rsidR="00745987" w:rsidRPr="00745987">
        <w:rPr>
          <w:rFonts w:eastAsia="Times New Roman" w:cstheme="minorHAnsi"/>
          <w:sz w:val="24"/>
          <w:szCs w:val="24"/>
          <w:lang w:eastAsia="en-GB"/>
        </w:rPr>
        <w:t xml:space="preserve"> will get to hear from some of our TDF project holders</w:t>
      </w:r>
      <w:r w:rsidR="00F6541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45987" w:rsidRPr="00745987">
        <w:rPr>
          <w:rFonts w:eastAsia="Times New Roman" w:cstheme="minorHAnsi"/>
          <w:sz w:val="24"/>
          <w:szCs w:val="24"/>
          <w:lang w:eastAsia="en-GB"/>
        </w:rPr>
        <w:t>other current teaching and learning initiatives.</w:t>
      </w:r>
    </w:p>
    <w:p w14:paraId="305434B2" w14:textId="0DB0526F" w:rsidR="003478EF" w:rsidRPr="007D1316" w:rsidRDefault="00DB38BC" w:rsidP="0034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4"/>
          <w:szCs w:val="24"/>
        </w:rPr>
      </w:pPr>
      <w:r w:rsidRPr="006D5A43">
        <w:rPr>
          <w:rFonts w:cstheme="minorHAnsi"/>
          <w:b/>
          <w:bCs/>
          <w:sz w:val="24"/>
          <w:szCs w:val="24"/>
        </w:rPr>
        <w:t>Please complete the form below and send</w:t>
      </w:r>
      <w:r w:rsidR="003478EF" w:rsidRPr="006D5A43">
        <w:rPr>
          <w:rFonts w:cstheme="minorHAnsi"/>
          <w:b/>
          <w:bCs/>
          <w:sz w:val="24"/>
          <w:szCs w:val="24"/>
        </w:rPr>
        <w:t xml:space="preserve"> electronically to </w:t>
      </w:r>
      <w:hyperlink r:id="rId11" w:history="1">
        <w:r w:rsidR="003478EF" w:rsidRPr="006D5A43">
          <w:rPr>
            <w:rStyle w:val="Hyperlink"/>
            <w:rFonts w:cstheme="minorHAnsi"/>
            <w:b/>
            <w:bCs/>
            <w:sz w:val="24"/>
            <w:szCs w:val="24"/>
          </w:rPr>
          <w:t>clt@bath.ac.uk</w:t>
        </w:r>
      </w:hyperlink>
      <w:r w:rsidR="003478EF" w:rsidRPr="006D5A43">
        <w:rPr>
          <w:rFonts w:cstheme="minorHAnsi"/>
          <w:b/>
          <w:bCs/>
          <w:sz w:val="24"/>
          <w:szCs w:val="24"/>
        </w:rPr>
        <w:t xml:space="preserve"> by 5pm on</w:t>
      </w:r>
      <w:r w:rsidR="00887ACD">
        <w:rPr>
          <w:rFonts w:cstheme="minorHAnsi"/>
          <w:b/>
          <w:bCs/>
          <w:sz w:val="24"/>
          <w:szCs w:val="24"/>
        </w:rPr>
        <w:t xml:space="preserve"> </w:t>
      </w:r>
      <w:r w:rsidR="007D1316">
        <w:rPr>
          <w:rFonts w:cstheme="minorHAnsi"/>
          <w:b/>
          <w:bCs/>
          <w:sz w:val="24"/>
          <w:szCs w:val="24"/>
        </w:rPr>
        <w:t>26</w:t>
      </w:r>
      <w:r w:rsidR="00887ACD">
        <w:rPr>
          <w:rFonts w:cstheme="minorHAnsi"/>
          <w:b/>
          <w:sz w:val="24"/>
          <w:szCs w:val="24"/>
          <w:vertAlign w:val="superscript"/>
        </w:rPr>
        <w:t xml:space="preserve">th </w:t>
      </w:r>
      <w:r w:rsidR="007D1316">
        <w:rPr>
          <w:rFonts w:cstheme="minorHAnsi"/>
          <w:b/>
          <w:sz w:val="24"/>
          <w:szCs w:val="24"/>
        </w:rPr>
        <w:t>January</w:t>
      </w:r>
      <w:r w:rsidR="0022458C">
        <w:rPr>
          <w:rFonts w:cstheme="minorHAnsi"/>
          <w:b/>
          <w:sz w:val="24"/>
          <w:szCs w:val="24"/>
        </w:rPr>
        <w:t xml:space="preserve"> 202</w:t>
      </w:r>
      <w:r w:rsidR="007D1316">
        <w:rPr>
          <w:rFonts w:cstheme="minorHAnsi"/>
          <w:b/>
          <w:sz w:val="24"/>
          <w:szCs w:val="24"/>
        </w:rPr>
        <w:t>4</w:t>
      </w:r>
      <w:r w:rsidR="0060598F">
        <w:rPr>
          <w:rFonts w:cstheme="minorHAnsi"/>
          <w:b/>
          <w:sz w:val="24"/>
          <w:szCs w:val="24"/>
        </w:rPr>
        <w:t>.</w:t>
      </w:r>
    </w:p>
    <w:tbl>
      <w:tblPr>
        <w:tblStyle w:val="GridTable1Light1"/>
        <w:tblW w:w="0" w:type="auto"/>
        <w:jc w:val="center"/>
        <w:tblCellMar>
          <w:top w:w="108" w:type="dxa"/>
          <w:bottom w:w="108" w:type="dxa"/>
        </w:tblCellMar>
        <w:tblLook w:val="0480" w:firstRow="0" w:lastRow="0" w:firstColumn="1" w:lastColumn="0" w:noHBand="0" w:noVBand="1"/>
      </w:tblPr>
      <w:tblGrid>
        <w:gridCol w:w="2457"/>
        <w:gridCol w:w="2346"/>
        <w:gridCol w:w="3757"/>
        <w:gridCol w:w="456"/>
      </w:tblGrid>
      <w:tr w:rsidR="003478EF" w:rsidRPr="006D5A43" w14:paraId="24D58050" w14:textId="77777777" w:rsidTr="5A8DEC8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69852D45" w14:textId="77777777" w:rsidR="003478EF" w:rsidRPr="006D5A43" w:rsidRDefault="003478EF" w:rsidP="00FB7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5A43">
              <w:rPr>
                <w:rFonts w:cstheme="minorHAnsi"/>
                <w:sz w:val="24"/>
                <w:szCs w:val="24"/>
              </w:rPr>
              <w:t>Name(s)</w:t>
            </w:r>
          </w:p>
        </w:tc>
        <w:tc>
          <w:tcPr>
            <w:tcW w:w="6559" w:type="dxa"/>
            <w:gridSpan w:val="3"/>
          </w:tcPr>
          <w:p w14:paraId="35269957" w14:textId="73F7D4BA" w:rsidR="003478EF" w:rsidRPr="006D5A43" w:rsidRDefault="003478EF" w:rsidP="00FB7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478EF" w:rsidRPr="006D5A43" w14:paraId="4CB48B1E" w14:textId="77777777" w:rsidTr="5A8DEC8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2DA85182" w14:textId="77777777" w:rsidR="003478EF" w:rsidRPr="006D5A43" w:rsidRDefault="003478EF" w:rsidP="00FB7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5A43">
              <w:rPr>
                <w:rFonts w:cstheme="minorHAnsi"/>
                <w:sz w:val="24"/>
                <w:szCs w:val="24"/>
              </w:rPr>
              <w:t>Department</w:t>
            </w:r>
          </w:p>
        </w:tc>
        <w:tc>
          <w:tcPr>
            <w:tcW w:w="6559" w:type="dxa"/>
            <w:gridSpan w:val="3"/>
          </w:tcPr>
          <w:p w14:paraId="2D4BB6E7" w14:textId="05A8CC2D" w:rsidR="003478EF" w:rsidRPr="006D5A43" w:rsidRDefault="003478EF" w:rsidP="00FB7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478EF" w:rsidRPr="006D5A43" w14:paraId="1D453B99" w14:textId="77777777" w:rsidTr="5A8DEC80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1DE858DD" w14:textId="77777777" w:rsidR="00F42CAF" w:rsidRDefault="003478EF" w:rsidP="00FB7BD0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D5A43">
              <w:rPr>
                <w:rFonts w:cstheme="minorHAnsi"/>
                <w:sz w:val="24"/>
                <w:szCs w:val="24"/>
              </w:rPr>
              <w:t xml:space="preserve">Contact email </w:t>
            </w:r>
          </w:p>
          <w:p w14:paraId="4549D783" w14:textId="5E2CD5D7" w:rsidR="003478EF" w:rsidRPr="006D5A43" w:rsidRDefault="003478EF" w:rsidP="00FB7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5A43">
              <w:rPr>
                <w:rFonts w:cstheme="minorHAnsi"/>
                <w:sz w:val="24"/>
                <w:szCs w:val="24"/>
              </w:rPr>
              <w:t>(</w:t>
            </w:r>
            <w:r w:rsidR="001E47CA">
              <w:rPr>
                <w:rFonts w:cstheme="minorHAnsi"/>
                <w:sz w:val="24"/>
                <w:szCs w:val="24"/>
              </w:rPr>
              <w:t>L</w:t>
            </w:r>
            <w:r w:rsidRPr="006D5A43">
              <w:rPr>
                <w:rFonts w:cstheme="minorHAnsi"/>
                <w:sz w:val="24"/>
                <w:szCs w:val="24"/>
              </w:rPr>
              <w:t>ead presenter)</w:t>
            </w:r>
          </w:p>
        </w:tc>
        <w:tc>
          <w:tcPr>
            <w:tcW w:w="6559" w:type="dxa"/>
            <w:gridSpan w:val="3"/>
          </w:tcPr>
          <w:p w14:paraId="3CDD9FB8" w14:textId="37AD7D57" w:rsidR="003478EF" w:rsidRPr="006D5A43" w:rsidRDefault="003478EF" w:rsidP="00FB7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478EF" w:rsidRPr="006D5A43" w14:paraId="036AB243" w14:textId="77777777" w:rsidTr="5A8DEC8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040C29B0" w14:textId="77777777" w:rsidR="003478EF" w:rsidRPr="006D5A43" w:rsidRDefault="003478EF" w:rsidP="00FB7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5A43">
              <w:rPr>
                <w:rFonts w:cstheme="minorHAnsi"/>
                <w:sz w:val="24"/>
                <w:szCs w:val="24"/>
              </w:rPr>
              <w:t>Session title</w:t>
            </w:r>
          </w:p>
        </w:tc>
        <w:tc>
          <w:tcPr>
            <w:tcW w:w="6559" w:type="dxa"/>
            <w:gridSpan w:val="3"/>
          </w:tcPr>
          <w:p w14:paraId="61A7F4E4" w14:textId="15AE45C7" w:rsidR="003478EF" w:rsidRPr="006D5A43" w:rsidRDefault="003478EF" w:rsidP="00FB7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10B33" w:rsidRPr="006D5A43" w14:paraId="49390BD5" w14:textId="77777777" w:rsidTr="5A8DEC80">
        <w:trPr>
          <w:trHeight w:val="1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1B1853F1" w14:textId="7A4C4523" w:rsidR="00510B33" w:rsidRPr="006D5A43" w:rsidRDefault="00510B33" w:rsidP="003478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5A43">
              <w:rPr>
                <w:rFonts w:cstheme="minorHAnsi"/>
                <w:sz w:val="24"/>
                <w:szCs w:val="24"/>
              </w:rPr>
              <w:t>Session type (please tick)</w:t>
            </w:r>
          </w:p>
        </w:tc>
        <w:tc>
          <w:tcPr>
            <w:tcW w:w="2346" w:type="dxa"/>
          </w:tcPr>
          <w:p w14:paraId="47BC61A7" w14:textId="77777777" w:rsidR="00510B33" w:rsidRDefault="00510B33" w:rsidP="0034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D5A43">
              <w:rPr>
                <w:rFonts w:cstheme="minorHAnsi"/>
                <w:b/>
                <w:bCs/>
                <w:sz w:val="24"/>
                <w:szCs w:val="24"/>
              </w:rPr>
              <w:t>5-min Lightning Talk</w:t>
            </w:r>
            <w:r w:rsidRPr="006D5A4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D80F1B" w14:textId="77777777" w:rsidR="00510B33" w:rsidRDefault="00510B33" w:rsidP="0034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02285C4" w14:textId="77777777" w:rsidR="00510B33" w:rsidRPr="006D5A43" w:rsidRDefault="00510B33" w:rsidP="0034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id w:val="-1727289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355EEF" w14:textId="55DE51CB" w:rsidR="00510B33" w:rsidRPr="006D5A43" w:rsidRDefault="00510B33" w:rsidP="003478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13" w:type="dxa"/>
            <w:gridSpan w:val="2"/>
          </w:tcPr>
          <w:p w14:paraId="2B44EE18" w14:textId="77777777" w:rsidR="00510B33" w:rsidRPr="006D5A43" w:rsidRDefault="00510B33" w:rsidP="0034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D5A43">
              <w:rPr>
                <w:rFonts w:cstheme="minorHAnsi"/>
                <w:b/>
                <w:bCs/>
                <w:sz w:val="24"/>
                <w:szCs w:val="24"/>
              </w:rPr>
              <w:t>30-min Talking Point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D5A43">
              <w:rPr>
                <w:rFonts w:cstheme="minorHAnsi"/>
                <w:sz w:val="24"/>
                <w:szCs w:val="24"/>
              </w:rPr>
              <w:t>15-min conference-style paper</w:t>
            </w:r>
            <w:r>
              <w:rPr>
                <w:rFonts w:cstheme="minorHAnsi"/>
                <w:sz w:val="24"/>
                <w:szCs w:val="24"/>
              </w:rPr>
              <w:t xml:space="preserve"> detailing innovation in practice, ongoing pedagogical </w:t>
            </w:r>
            <w:proofErr w:type="gramStart"/>
            <w:r>
              <w:rPr>
                <w:rFonts w:cstheme="minorHAnsi"/>
                <w:sz w:val="24"/>
                <w:szCs w:val="24"/>
              </w:rPr>
              <w:t>research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policy developments </w:t>
            </w:r>
            <w:r w:rsidRPr="006D5A43">
              <w:rPr>
                <w:rFonts w:cstheme="minorHAnsi"/>
                <w:sz w:val="24"/>
                <w:szCs w:val="24"/>
              </w:rPr>
              <w:t>+ 15 minutes Q &amp; A</w:t>
            </w:r>
          </w:p>
          <w:sdt>
            <w:sdtPr>
              <w:rPr>
                <w:rFonts w:cstheme="minorHAnsi"/>
                <w:sz w:val="24"/>
                <w:szCs w:val="24"/>
              </w:rPr>
              <w:id w:val="798575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1CF03C" w14:textId="379A0880" w:rsidR="00510B33" w:rsidRPr="006D5A43" w:rsidRDefault="00510B33" w:rsidP="003478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E20FF" w:rsidRPr="006D5A43" w14:paraId="7DB14AC2" w14:textId="77777777" w:rsidTr="5A8DEC80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vMerge w:val="restart"/>
          </w:tcPr>
          <w:p w14:paraId="4C133E97" w14:textId="77777777" w:rsidR="00BE20FF" w:rsidRPr="006D5A43" w:rsidRDefault="00BE20FF" w:rsidP="003478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5A43">
              <w:rPr>
                <w:rFonts w:cstheme="minorHAnsi"/>
                <w:sz w:val="24"/>
                <w:szCs w:val="24"/>
              </w:rPr>
              <w:t>Theme(s) this session is relevant to (tick all that apply)</w:t>
            </w:r>
          </w:p>
        </w:tc>
        <w:tc>
          <w:tcPr>
            <w:tcW w:w="6103" w:type="dxa"/>
            <w:gridSpan w:val="2"/>
          </w:tcPr>
          <w:p w14:paraId="19550618" w14:textId="08F81005" w:rsidR="000365E3" w:rsidRPr="000365E3" w:rsidRDefault="00BE20FF" w:rsidP="000365E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 </w:t>
            </w:r>
            <w:r w:rsidR="000365E3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In</w:t>
            </w:r>
            <w:r w:rsidR="007D1316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novative</w:t>
            </w:r>
            <w:r w:rsidR="000365E3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teaching practice</w:t>
            </w:r>
            <w:r w:rsidR="00C0652B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</w:t>
            </w:r>
            <w:r w:rsidR="00425943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/</w:t>
            </w:r>
            <w:r w:rsidR="00C0652B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session design</w:t>
            </w:r>
          </w:p>
        </w:tc>
        <w:sdt>
          <w:sdtPr>
            <w:rPr>
              <w:rFonts w:cstheme="minorHAnsi"/>
              <w:sz w:val="24"/>
              <w:szCs w:val="24"/>
            </w:rPr>
            <w:id w:val="32555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DD77506" w14:textId="30C2C4C1" w:rsidR="00BE20FF" w:rsidRPr="006D5A43" w:rsidRDefault="00BE20FF" w:rsidP="003478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6D5A4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E20FF" w:rsidRPr="006D5A43" w14:paraId="79937ED7" w14:textId="77777777" w:rsidTr="5A8DEC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vMerge/>
          </w:tcPr>
          <w:p w14:paraId="158DDDC1" w14:textId="77777777" w:rsidR="00BE20FF" w:rsidRPr="006D5A43" w:rsidRDefault="00BE20FF" w:rsidP="003478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3" w:type="dxa"/>
            <w:gridSpan w:val="2"/>
          </w:tcPr>
          <w:p w14:paraId="7E80F087" w14:textId="58F4AC19" w:rsidR="00BE20FF" w:rsidRPr="006D5A43" w:rsidRDefault="00BE20FF" w:rsidP="00BE20F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 </w:t>
            </w:r>
            <w:r w:rsidR="007D1316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Innovative use of software</w:t>
            </w:r>
            <w:r w:rsidR="00C0652B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tools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3752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3986CD2" w14:textId="0052D26C" w:rsidR="00BE20FF" w:rsidRPr="006D5A43" w:rsidRDefault="00BE20FF" w:rsidP="003478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6D5A4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E20FF" w:rsidRPr="006D5A43" w14:paraId="40FBD325" w14:textId="77777777" w:rsidTr="5A8DEC80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vMerge/>
          </w:tcPr>
          <w:p w14:paraId="2A75F40B" w14:textId="77777777" w:rsidR="00BE20FF" w:rsidRPr="006D5A43" w:rsidRDefault="00BE20FF" w:rsidP="003478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3" w:type="dxa"/>
            <w:gridSpan w:val="2"/>
          </w:tcPr>
          <w:p w14:paraId="0A20203E" w14:textId="277FCF5C" w:rsidR="00BE20FF" w:rsidRPr="00BE20FF" w:rsidRDefault="00B45E00" w:rsidP="00BE20FF">
            <w:pPr>
              <w:shd w:val="clear" w:color="auto" w:fill="FFFFFF"/>
              <w:spacing w:before="100" w:beforeAutospacing="1" w:after="100" w:afterAutospacing="1"/>
              <w:ind w:left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t>GenAI</w:t>
            </w:r>
            <w:r w:rsidR="007D1316"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t xml:space="preserve"> Intelligence </w:t>
            </w:r>
            <w:r w:rsidR="00C0652B"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t>use in Teaching &amp; Assessment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0771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81A0A0" w14:textId="77777777" w:rsidR="00BE20FF" w:rsidRPr="006D5A43" w:rsidRDefault="00BE20FF" w:rsidP="003478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2545" w:rsidRPr="006D5A43" w14:paraId="0B719B3F" w14:textId="77777777" w:rsidTr="5A8DEC80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vMerge/>
          </w:tcPr>
          <w:p w14:paraId="2C8AD94C" w14:textId="77777777" w:rsidR="00C42545" w:rsidRPr="006D5A43" w:rsidRDefault="00C42545" w:rsidP="00CB75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3" w:type="dxa"/>
            <w:gridSpan w:val="2"/>
          </w:tcPr>
          <w:p w14:paraId="65BF0C3A" w14:textId="48EBE7E3" w:rsidR="00C42545" w:rsidRDefault="00C0652B" w:rsidP="5A8DEC80">
            <w:pPr>
              <w:shd w:val="clear" w:color="auto" w:fill="FFFFFF" w:themeFill="background1"/>
              <w:spacing w:before="100" w:beforeAutospacing="1" w:after="100" w:afterAutospacing="1"/>
              <w:ind w:left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42424"/>
                <w:sz w:val="24"/>
                <w:szCs w:val="24"/>
                <w:lang w:eastAsia="en-GB"/>
              </w:rPr>
            </w:pPr>
            <w:r w:rsidRPr="5A8DEC80">
              <w:rPr>
                <w:rFonts w:eastAsia="Times New Roman"/>
                <w:color w:val="242424"/>
                <w:sz w:val="24"/>
                <w:szCs w:val="24"/>
                <w:lang w:eastAsia="en-GB"/>
              </w:rPr>
              <w:t>Change and development that has come out of Curriculum transformation, and</w:t>
            </w:r>
            <w:r w:rsidR="0E6941D1" w:rsidRPr="5A8DEC80">
              <w:rPr>
                <w:rFonts w:eastAsia="Times New Roman"/>
                <w:color w:val="242424"/>
                <w:sz w:val="24"/>
                <w:szCs w:val="24"/>
                <w:lang w:eastAsia="en-GB"/>
              </w:rPr>
              <w:t>/</w:t>
            </w:r>
            <w:r w:rsidRPr="5A8DEC80">
              <w:rPr>
                <w:rFonts w:eastAsia="Times New Roman"/>
                <w:color w:val="242424"/>
                <w:sz w:val="24"/>
                <w:szCs w:val="24"/>
                <w:lang w:eastAsia="en-GB"/>
              </w:rPr>
              <w:t>or lessons learnt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9303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D45022E" w14:textId="406BCF35" w:rsidR="00C42545" w:rsidRDefault="00C42545" w:rsidP="00CB759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2545" w:rsidRPr="006D5A43" w14:paraId="00FC548C" w14:textId="77777777" w:rsidTr="5A8DEC80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vMerge/>
          </w:tcPr>
          <w:p w14:paraId="7349A147" w14:textId="77777777" w:rsidR="00C42545" w:rsidRPr="006D5A43" w:rsidRDefault="00C42545" w:rsidP="00CB75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3" w:type="dxa"/>
            <w:gridSpan w:val="2"/>
          </w:tcPr>
          <w:p w14:paraId="4E5CAF86" w14:textId="77777777" w:rsidR="00C42545" w:rsidRDefault="00C42545" w:rsidP="00C4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ABD0AAA" w14:textId="02F8F315" w:rsidR="00C42545" w:rsidRDefault="00C42545" w:rsidP="00CB759E">
            <w:pPr>
              <w:shd w:val="clear" w:color="auto" w:fill="FFFFFF"/>
              <w:spacing w:before="100" w:beforeAutospacing="1" w:after="100" w:afterAutospacing="1"/>
              <w:ind w:left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</w:p>
        </w:tc>
        <w:tc>
          <w:tcPr>
            <w:tcW w:w="456" w:type="dxa"/>
          </w:tcPr>
          <w:p w14:paraId="714F0EEB" w14:textId="54C679E0" w:rsidR="00C42545" w:rsidRDefault="00C42545" w:rsidP="00CB7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42545" w:rsidRPr="006D5A43" w14:paraId="1D7932F7" w14:textId="77777777" w:rsidTr="5A8DEC80">
        <w:trPr>
          <w:trHeight w:val="10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37B1BBBA" w14:textId="7C491BD5" w:rsidR="00C42545" w:rsidRPr="006D5A43" w:rsidRDefault="00C42545" w:rsidP="00CB75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D5A43">
              <w:rPr>
                <w:rFonts w:cstheme="minorHAnsi"/>
                <w:sz w:val="24"/>
                <w:szCs w:val="24"/>
              </w:rPr>
              <w:t xml:space="preserve">Session/poster abstract </w:t>
            </w:r>
            <w:r w:rsidRPr="006D5A43">
              <w:rPr>
                <w:rFonts w:cstheme="minorHAnsi"/>
                <w:sz w:val="24"/>
                <w:szCs w:val="24"/>
              </w:rPr>
              <w:br/>
              <w:t>(max. 200 words)</w:t>
            </w:r>
          </w:p>
        </w:tc>
        <w:tc>
          <w:tcPr>
            <w:tcW w:w="6559" w:type="dxa"/>
            <w:gridSpan w:val="3"/>
          </w:tcPr>
          <w:p w14:paraId="20D81A64" w14:textId="0C7CF8FE" w:rsidR="00C42545" w:rsidRPr="006D5A43" w:rsidRDefault="00C42545" w:rsidP="00CB7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42545" w:rsidRPr="007D7C35" w14:paraId="4B737161" w14:textId="77777777" w:rsidTr="5A8DEC80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4B93E694" w14:textId="3446A83B" w:rsidR="00C42545" w:rsidRPr="007D7C35" w:rsidRDefault="00C42545" w:rsidP="00CB759E">
            <w:pPr>
              <w:jc w:val="center"/>
              <w:rPr>
                <w:b w:val="0"/>
                <w:sz w:val="24"/>
                <w:szCs w:val="24"/>
              </w:rPr>
            </w:pPr>
            <w:r w:rsidRPr="007D7C35">
              <w:rPr>
                <w:sz w:val="24"/>
                <w:szCs w:val="24"/>
              </w:rPr>
              <w:t xml:space="preserve">Session </w:t>
            </w:r>
            <w:r>
              <w:rPr>
                <w:sz w:val="24"/>
                <w:szCs w:val="24"/>
              </w:rPr>
              <w:t>requirements</w:t>
            </w:r>
          </w:p>
        </w:tc>
        <w:tc>
          <w:tcPr>
            <w:tcW w:w="6559" w:type="dxa"/>
            <w:gridSpan w:val="3"/>
          </w:tcPr>
          <w:p w14:paraId="04019310" w14:textId="759705F0" w:rsidR="00C42545" w:rsidRPr="007D7C35" w:rsidRDefault="00C42545" w:rsidP="00CB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561BF29" w14:textId="20F0CD56" w:rsidR="001E5357" w:rsidRDefault="001E5357" w:rsidP="003736CD">
      <w:pPr>
        <w:jc w:val="center"/>
      </w:pPr>
    </w:p>
    <w:p w14:paraId="51021569" w14:textId="66726EC6" w:rsidR="00F42CAF" w:rsidRDefault="00F42CAF" w:rsidP="003736CD">
      <w:pPr>
        <w:jc w:val="center"/>
      </w:pPr>
    </w:p>
    <w:sectPr w:rsidR="00F42CAF" w:rsidSect="006D5A4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126F" w14:textId="77777777" w:rsidR="000D5B1B" w:rsidRDefault="000D5B1B">
      <w:pPr>
        <w:spacing w:after="0" w:line="240" w:lineRule="auto"/>
      </w:pPr>
    </w:p>
  </w:endnote>
  <w:endnote w:type="continuationSeparator" w:id="0">
    <w:p w14:paraId="2A95D7DD" w14:textId="77777777" w:rsidR="000D5B1B" w:rsidRDefault="000D5B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FFF6" w14:textId="77777777" w:rsidR="000D5B1B" w:rsidRDefault="000D5B1B">
      <w:pPr>
        <w:spacing w:after="0" w:line="240" w:lineRule="auto"/>
      </w:pPr>
    </w:p>
  </w:footnote>
  <w:footnote w:type="continuationSeparator" w:id="0">
    <w:p w14:paraId="640758FD" w14:textId="77777777" w:rsidR="000D5B1B" w:rsidRDefault="000D5B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352"/>
    <w:multiLevelType w:val="hybridMultilevel"/>
    <w:tmpl w:val="26FE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26E9"/>
    <w:multiLevelType w:val="multilevel"/>
    <w:tmpl w:val="E74E55EC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DE2B93"/>
    <w:multiLevelType w:val="hybridMultilevel"/>
    <w:tmpl w:val="B2A6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3693"/>
    <w:multiLevelType w:val="multilevel"/>
    <w:tmpl w:val="B31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44619"/>
    <w:multiLevelType w:val="hybridMultilevel"/>
    <w:tmpl w:val="FBC45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184044">
    <w:abstractNumId w:val="2"/>
  </w:num>
  <w:num w:numId="2" w16cid:durableId="792023827">
    <w:abstractNumId w:val="4"/>
  </w:num>
  <w:num w:numId="3" w16cid:durableId="1432050244">
    <w:abstractNumId w:val="0"/>
  </w:num>
  <w:num w:numId="4" w16cid:durableId="1386300468">
    <w:abstractNumId w:val="1"/>
  </w:num>
  <w:num w:numId="5" w16cid:durableId="2321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CD"/>
    <w:rsid w:val="000053D2"/>
    <w:rsid w:val="00017860"/>
    <w:rsid w:val="000365E3"/>
    <w:rsid w:val="00080313"/>
    <w:rsid w:val="000D5B1B"/>
    <w:rsid w:val="00100039"/>
    <w:rsid w:val="00196F16"/>
    <w:rsid w:val="001E47CA"/>
    <w:rsid w:val="001E5357"/>
    <w:rsid w:val="001E77E2"/>
    <w:rsid w:val="001F1905"/>
    <w:rsid w:val="0022458C"/>
    <w:rsid w:val="00231696"/>
    <w:rsid w:val="002359F7"/>
    <w:rsid w:val="0027192D"/>
    <w:rsid w:val="002F215E"/>
    <w:rsid w:val="00327970"/>
    <w:rsid w:val="00340C0E"/>
    <w:rsid w:val="003478EF"/>
    <w:rsid w:val="00362BF9"/>
    <w:rsid w:val="00362E47"/>
    <w:rsid w:val="003736CD"/>
    <w:rsid w:val="00392FD9"/>
    <w:rsid w:val="003C0178"/>
    <w:rsid w:val="003F657D"/>
    <w:rsid w:val="0041383F"/>
    <w:rsid w:val="00425943"/>
    <w:rsid w:val="0042689C"/>
    <w:rsid w:val="00455984"/>
    <w:rsid w:val="00476B8E"/>
    <w:rsid w:val="00504930"/>
    <w:rsid w:val="00510B33"/>
    <w:rsid w:val="00517E46"/>
    <w:rsid w:val="00525865"/>
    <w:rsid w:val="00594954"/>
    <w:rsid w:val="005B61E5"/>
    <w:rsid w:val="005D3C81"/>
    <w:rsid w:val="0060598F"/>
    <w:rsid w:val="006456C3"/>
    <w:rsid w:val="006A08D2"/>
    <w:rsid w:val="006D5A43"/>
    <w:rsid w:val="006F22AF"/>
    <w:rsid w:val="00745987"/>
    <w:rsid w:val="00751F84"/>
    <w:rsid w:val="00767E2A"/>
    <w:rsid w:val="007D1316"/>
    <w:rsid w:val="007E0FA5"/>
    <w:rsid w:val="008419BC"/>
    <w:rsid w:val="008473D7"/>
    <w:rsid w:val="00884E1C"/>
    <w:rsid w:val="00887ACD"/>
    <w:rsid w:val="008A0A78"/>
    <w:rsid w:val="008C6830"/>
    <w:rsid w:val="008D54D0"/>
    <w:rsid w:val="00920971"/>
    <w:rsid w:val="0093325F"/>
    <w:rsid w:val="00973DD0"/>
    <w:rsid w:val="009931FF"/>
    <w:rsid w:val="009975FA"/>
    <w:rsid w:val="009C2001"/>
    <w:rsid w:val="009E5A76"/>
    <w:rsid w:val="00A674ED"/>
    <w:rsid w:val="00A936C3"/>
    <w:rsid w:val="00AB0601"/>
    <w:rsid w:val="00AC2206"/>
    <w:rsid w:val="00AD6CE7"/>
    <w:rsid w:val="00B10AA8"/>
    <w:rsid w:val="00B371B3"/>
    <w:rsid w:val="00B45E00"/>
    <w:rsid w:val="00B8098E"/>
    <w:rsid w:val="00BB1DC4"/>
    <w:rsid w:val="00BE20FF"/>
    <w:rsid w:val="00BF3734"/>
    <w:rsid w:val="00C0652B"/>
    <w:rsid w:val="00C42545"/>
    <w:rsid w:val="00C54784"/>
    <w:rsid w:val="00CA6A75"/>
    <w:rsid w:val="00CB759E"/>
    <w:rsid w:val="00CF7915"/>
    <w:rsid w:val="00DB38BC"/>
    <w:rsid w:val="00DE24CF"/>
    <w:rsid w:val="00DF5D4A"/>
    <w:rsid w:val="00E053E8"/>
    <w:rsid w:val="00E136D6"/>
    <w:rsid w:val="00E573F9"/>
    <w:rsid w:val="00E6102B"/>
    <w:rsid w:val="00E73512"/>
    <w:rsid w:val="00E85FC9"/>
    <w:rsid w:val="00EC6D96"/>
    <w:rsid w:val="00ED4B5A"/>
    <w:rsid w:val="00F42CAF"/>
    <w:rsid w:val="00F54FD8"/>
    <w:rsid w:val="00F57346"/>
    <w:rsid w:val="00F65415"/>
    <w:rsid w:val="00FA72BC"/>
    <w:rsid w:val="00FB6A97"/>
    <w:rsid w:val="00FB7BD0"/>
    <w:rsid w:val="02444908"/>
    <w:rsid w:val="031EE39E"/>
    <w:rsid w:val="034ABC71"/>
    <w:rsid w:val="048407D5"/>
    <w:rsid w:val="05D2623F"/>
    <w:rsid w:val="06F6FEB4"/>
    <w:rsid w:val="073FED83"/>
    <w:rsid w:val="08050537"/>
    <w:rsid w:val="0ADEBE44"/>
    <w:rsid w:val="0B10CD26"/>
    <w:rsid w:val="0BD9F077"/>
    <w:rsid w:val="0BDC18B8"/>
    <w:rsid w:val="0DD3C654"/>
    <w:rsid w:val="0E1C7CEF"/>
    <w:rsid w:val="0E6941D1"/>
    <w:rsid w:val="0E6CFEAF"/>
    <w:rsid w:val="1164BA68"/>
    <w:rsid w:val="1469E7BD"/>
    <w:rsid w:val="14831353"/>
    <w:rsid w:val="14B7AF6C"/>
    <w:rsid w:val="14E3883F"/>
    <w:rsid w:val="16AB5A03"/>
    <w:rsid w:val="19B6F962"/>
    <w:rsid w:val="19BF34C8"/>
    <w:rsid w:val="19EF7E8D"/>
    <w:rsid w:val="1C2EC61A"/>
    <w:rsid w:val="1CC2C151"/>
    <w:rsid w:val="1D6EB9BB"/>
    <w:rsid w:val="1F0A8A1C"/>
    <w:rsid w:val="2110EB7E"/>
    <w:rsid w:val="21963274"/>
    <w:rsid w:val="219E1FFA"/>
    <w:rsid w:val="21C39384"/>
    <w:rsid w:val="23D7FE19"/>
    <w:rsid w:val="23D9E8AE"/>
    <w:rsid w:val="24A33589"/>
    <w:rsid w:val="2501998F"/>
    <w:rsid w:val="2671911D"/>
    <w:rsid w:val="27118970"/>
    <w:rsid w:val="280D617E"/>
    <w:rsid w:val="2AB1E9A1"/>
    <w:rsid w:val="2AD8CF4B"/>
    <w:rsid w:val="2B50784E"/>
    <w:rsid w:val="2CA5E46A"/>
    <w:rsid w:val="2E0B7033"/>
    <w:rsid w:val="31BBBB7A"/>
    <w:rsid w:val="32B2E86F"/>
    <w:rsid w:val="35C2B06B"/>
    <w:rsid w:val="36943F4A"/>
    <w:rsid w:val="378E2850"/>
    <w:rsid w:val="385CCF5F"/>
    <w:rsid w:val="3B099111"/>
    <w:rsid w:val="3B1304FC"/>
    <w:rsid w:val="3C520DAB"/>
    <w:rsid w:val="3DE44177"/>
    <w:rsid w:val="3E50596E"/>
    <w:rsid w:val="42B173B1"/>
    <w:rsid w:val="4398C517"/>
    <w:rsid w:val="445382FB"/>
    <w:rsid w:val="44C7A27B"/>
    <w:rsid w:val="45DCA2E6"/>
    <w:rsid w:val="4A7E463C"/>
    <w:rsid w:val="4AB570B4"/>
    <w:rsid w:val="4B0A7B39"/>
    <w:rsid w:val="4C5D4E3E"/>
    <w:rsid w:val="4DE7B4CB"/>
    <w:rsid w:val="50290C4C"/>
    <w:rsid w:val="5163102D"/>
    <w:rsid w:val="536DA507"/>
    <w:rsid w:val="53C9D030"/>
    <w:rsid w:val="55352EAE"/>
    <w:rsid w:val="55F2C6B0"/>
    <w:rsid w:val="56F44DDE"/>
    <w:rsid w:val="590A5CC6"/>
    <w:rsid w:val="5A8DEC80"/>
    <w:rsid w:val="5AC66739"/>
    <w:rsid w:val="5BFDC2C5"/>
    <w:rsid w:val="5C37A500"/>
    <w:rsid w:val="5CFB38AB"/>
    <w:rsid w:val="5E00CEF8"/>
    <w:rsid w:val="5FE2E147"/>
    <w:rsid w:val="6153374E"/>
    <w:rsid w:val="61BAC45A"/>
    <w:rsid w:val="621013ED"/>
    <w:rsid w:val="6414DF32"/>
    <w:rsid w:val="64522386"/>
    <w:rsid w:val="6472498C"/>
    <w:rsid w:val="648D9F0D"/>
    <w:rsid w:val="64E43337"/>
    <w:rsid w:val="6547B4AF"/>
    <w:rsid w:val="6743D4AA"/>
    <w:rsid w:val="694C366A"/>
    <w:rsid w:val="6A1B25D2"/>
    <w:rsid w:val="6AB8B9EA"/>
    <w:rsid w:val="6BB6F633"/>
    <w:rsid w:val="6BC7CB5F"/>
    <w:rsid w:val="6D31891C"/>
    <w:rsid w:val="6DBE40CE"/>
    <w:rsid w:val="6E206416"/>
    <w:rsid w:val="70746143"/>
    <w:rsid w:val="70792C7F"/>
    <w:rsid w:val="72490C8C"/>
    <w:rsid w:val="7259FE10"/>
    <w:rsid w:val="726561B9"/>
    <w:rsid w:val="73DCA614"/>
    <w:rsid w:val="75F3F283"/>
    <w:rsid w:val="768BBB88"/>
    <w:rsid w:val="7696213E"/>
    <w:rsid w:val="77886656"/>
    <w:rsid w:val="78B01737"/>
    <w:rsid w:val="7A086055"/>
    <w:rsid w:val="7A4BE798"/>
    <w:rsid w:val="7B13D1B8"/>
    <w:rsid w:val="7C2D57E0"/>
    <w:rsid w:val="7C6E1FCA"/>
    <w:rsid w:val="7ED49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66ED8"/>
  <w15:chartTrackingRefBased/>
  <w15:docId w15:val="{A493A55A-6D20-3D48-AA3F-A333F396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3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736CD"/>
    <w:rPr>
      <w:color w:val="0563C1" w:themeColor="hyperlink"/>
      <w:u w:val="single"/>
    </w:rPr>
  </w:style>
  <w:style w:type="table" w:customStyle="1" w:styleId="GridTable1Light1">
    <w:name w:val="Grid Table 1 Light1"/>
    <w:basedOn w:val="TableNormal"/>
    <w:uiPriority w:val="46"/>
    <w:rsid w:val="003478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1E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FA"/>
  </w:style>
  <w:style w:type="paragraph" w:styleId="Footer">
    <w:name w:val="footer"/>
    <w:basedOn w:val="Normal"/>
    <w:link w:val="FooterChar"/>
    <w:uiPriority w:val="99"/>
    <w:unhideWhenUsed/>
    <w:rsid w:val="0099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FA"/>
  </w:style>
  <w:style w:type="character" w:styleId="UnresolvedMention">
    <w:name w:val="Unresolved Mention"/>
    <w:basedOn w:val="DefaultParagraphFont"/>
    <w:uiPriority w:val="99"/>
    <w:semiHidden/>
    <w:unhideWhenUsed/>
    <w:rsid w:val="008D5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t@bat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10F7760174046B412AB999BD2E8E0" ma:contentTypeVersion="12" ma:contentTypeDescription="Create a new document." ma:contentTypeScope="" ma:versionID="becae4ae098d3fcded42f565dd15a4d1">
  <xsd:schema xmlns:xsd="http://www.w3.org/2001/XMLSchema" xmlns:xs="http://www.w3.org/2001/XMLSchema" xmlns:p="http://schemas.microsoft.com/office/2006/metadata/properties" xmlns:ns2="b31e59a2-3882-4d15-b1f0-20a41eb2e7bb" xmlns:ns3="b1e165a0-1a4a-4d2e-b26a-75de4c74afb8" targetNamespace="http://schemas.microsoft.com/office/2006/metadata/properties" ma:root="true" ma:fieldsID="1f0b80965341a6834fe2b5f6f95c9ef3" ns2:_="" ns3:_="">
    <xsd:import namespace="b31e59a2-3882-4d15-b1f0-20a41eb2e7bb"/>
    <xsd:import namespace="b1e165a0-1a4a-4d2e-b26a-75de4c74a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e59a2-3882-4d15-b1f0-20a41eb2e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65a0-1a4a-4d2e-b26a-75de4c74af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86cc65-1bfc-482d-ac03-4d191023851d}" ma:internalName="TaxCatchAll" ma:showField="CatchAllData" ma:web="b1e165a0-1a4a-4d2e-b26a-75de4c74a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1e59a2-3882-4d15-b1f0-20a41eb2e7bb">
      <Terms xmlns="http://schemas.microsoft.com/office/infopath/2007/PartnerControls"/>
    </lcf76f155ced4ddcb4097134ff3c332f>
    <TaxCatchAll xmlns="b1e165a0-1a4a-4d2e-b26a-75de4c74af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6742D-2301-4FA4-906E-F320A6604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e59a2-3882-4d15-b1f0-20a41eb2e7bb"/>
    <ds:schemaRef ds:uri="b1e165a0-1a4a-4d2e-b26a-75de4c74a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E3607-997E-4399-B7A9-B6EEB621953A}">
  <ds:schemaRefs>
    <ds:schemaRef ds:uri="http://schemas.microsoft.com/office/2006/metadata/properties"/>
    <ds:schemaRef ds:uri="http://schemas.microsoft.com/office/infopath/2007/PartnerControls"/>
    <ds:schemaRef ds:uri="b31e59a2-3882-4d15-b1f0-20a41eb2e7bb"/>
    <ds:schemaRef ds:uri="b1e165a0-1a4a-4d2e-b26a-75de4c74afb8"/>
  </ds:schemaRefs>
</ds:datastoreItem>
</file>

<file path=customXml/itemProps3.xml><?xml version="1.0" encoding="utf-8"?>
<ds:datastoreItem xmlns:ds="http://schemas.openxmlformats.org/officeDocument/2006/customXml" ds:itemID="{8134C8A4-B934-4596-A241-C18F2E28FE9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3273</Characters>
  <Application>Microsoft Office Word</Application>
  <DocSecurity>0</DocSecurity>
  <Lines>27</Lines>
  <Paragraphs>7</Paragraphs>
  <ScaleCrop>false</ScaleCrop>
  <Company>University of Bath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Watts</dc:creator>
  <cp:keywords/>
  <dc:description/>
  <cp:lastModifiedBy>Stephanie Kamffer</cp:lastModifiedBy>
  <cp:revision>8</cp:revision>
  <dcterms:created xsi:type="dcterms:W3CDTF">2023-09-28T13:16:00Z</dcterms:created>
  <dcterms:modified xsi:type="dcterms:W3CDTF">2023-10-04T16:39:00Z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0x010100C8A10F7760174046B412AB999BD2E8E0</vt:lpwstr>
  </property>
  <property fmtid="{D5CDD505-2E9C-101B-9397-08002B2CF9AE}" pid="3" name="MediaServiceImageTags">
    <vt:lpwstr/>
  </property>
</Properties>
</file>